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饶河县供销合作社联合社2019年度</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9</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val="en-US" w:eastAsia="zh-CN"/>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2019年度部门决算公开表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spacing w:line="660" w:lineRule="exact"/>
        <w:ind w:firstLine="560" w:firstLineChars="200"/>
        <w:rPr>
          <w:rFonts w:hint="eastAsia" w:ascii="仿宋" w:hAnsi="仿宋" w:eastAsia="仿宋" w:cs="仿宋"/>
          <w:sz w:val="32"/>
          <w:szCs w:val="32"/>
          <w:highlight w:val="none"/>
        </w:rPr>
      </w:pPr>
      <w:r>
        <w:rPr>
          <w:rFonts w:hint="eastAsia" w:ascii="仿宋" w:hAnsi="仿宋" w:eastAsia="仿宋" w:cs="仿宋"/>
          <w:color w:val="000000"/>
          <w:kern w:val="0"/>
          <w:sz w:val="28"/>
          <w:szCs w:val="28"/>
        </w:rPr>
        <w:t>（一）、研究制订本级供销社的发展战略和发展规划，并组织实施</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（二）、宣传贯彻党和国家有关农村经济工作的方针政策，积极参与农业产业化建设</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（三）、指导供销系统的改革和发展，协调与各有关部门的关系，维护各级供销合作组织的合法权益</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（四）、积极领办农村合作经济组织，创办联办农民专业合作社，并加强指导，促进健康发展</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（五）、充分发挥对各类农合组织指导、协调、监督、服务的职能作用，促进农村经济增长、农业增效、农民增收</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（六）、保障化肥、农药、农膜等农用物资的供应，技术的咨询，真正发挥主渠道作用</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（七）、督促基层社做好农副产品购销工作，引导农业产业化布局合理调整</w:t>
      </w:r>
      <w:r>
        <w:rPr>
          <w:rFonts w:hint="eastAsia" w:ascii="仿宋" w:hAnsi="仿宋" w:eastAsia="仿宋" w:cs="仿宋"/>
          <w:sz w:val="32"/>
          <w:szCs w:val="32"/>
          <w:highlight w:val="none"/>
        </w:rPr>
        <w:t>。</w:t>
      </w:r>
    </w:p>
    <w:p>
      <w:pPr>
        <w:spacing w:line="660" w:lineRule="exact"/>
        <w:ind w:firstLine="630"/>
        <w:rPr>
          <w:rFonts w:hint="eastAsia" w:ascii="仿宋" w:hAnsi="仿宋" w:eastAsia="仿宋" w:cs="仿宋"/>
          <w:sz w:val="32"/>
          <w:szCs w:val="32"/>
          <w:highlight w:val="none"/>
        </w:rPr>
      </w:pPr>
      <w:r>
        <w:rPr>
          <w:rFonts w:hint="eastAsia" w:ascii="仿宋" w:hAnsi="仿宋" w:eastAsia="仿宋" w:cs="仿宋"/>
          <w:color w:val="000000"/>
          <w:kern w:val="0"/>
          <w:sz w:val="28"/>
          <w:szCs w:val="28"/>
        </w:rPr>
        <w:t>（八）、完成县委县政府和上级社交办的各项工作任务</w:t>
      </w:r>
      <w:r>
        <w:rPr>
          <w:rFonts w:hint="eastAsia" w:ascii="仿宋" w:hAnsi="仿宋" w:eastAsia="仿宋" w:cs="仿宋"/>
          <w:sz w:val="32"/>
          <w:szCs w:val="32"/>
          <w:highlight w:val="none"/>
        </w:rPr>
        <w:t>。</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县联社内设8个职能科</w:t>
      </w:r>
      <w:r>
        <w:rPr>
          <w:rFonts w:hint="eastAsia" w:ascii="仿宋" w:hAnsi="仿宋" w:eastAsia="仿宋" w:cs="仿宋"/>
          <w:color w:val="000000"/>
          <w:sz w:val="28"/>
          <w:szCs w:val="28"/>
          <w:lang w:eastAsia="zh-CN"/>
        </w:rPr>
        <w:t>；</w:t>
      </w:r>
    </w:p>
    <w:p>
      <w:pPr>
        <w:keepNext w:val="0"/>
        <w:keepLines w:val="0"/>
        <w:pageBreakBefore w:val="0"/>
        <w:numPr>
          <w:ilvl w:val="0"/>
          <w:numId w:val="5"/>
        </w:numPr>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color w:val="000000"/>
          <w:kern w:val="0"/>
          <w:sz w:val="28"/>
          <w:szCs w:val="28"/>
          <w:lang w:eastAsia="zh-CN"/>
        </w:rPr>
      </w:pPr>
      <w:r>
        <w:rPr>
          <w:rFonts w:hint="eastAsia" w:ascii="仿宋" w:hAnsi="仿宋" w:eastAsia="仿宋" w:cs="仿宋"/>
          <w:color w:val="000000"/>
          <w:sz w:val="28"/>
          <w:szCs w:val="28"/>
        </w:rPr>
        <w:t>、行政办公室</w:t>
      </w:r>
      <w:r>
        <w:rPr>
          <w:rFonts w:hint="eastAsia" w:ascii="仿宋" w:hAnsi="仿宋" w:eastAsia="仿宋" w:cs="仿宋"/>
          <w:color w:val="000000"/>
          <w:kern w:val="0"/>
          <w:sz w:val="28"/>
          <w:szCs w:val="28"/>
        </w:rPr>
        <w:t>负责组织协调局机关日常工作，做好文件收发、登记、传递、交办、督办等工作</w:t>
      </w:r>
      <w:r>
        <w:rPr>
          <w:rFonts w:hint="eastAsia" w:ascii="仿宋" w:hAnsi="仿宋" w:eastAsia="仿宋" w:cs="仿宋"/>
          <w:color w:val="000000"/>
          <w:kern w:val="0"/>
          <w:sz w:val="28"/>
          <w:szCs w:val="28"/>
          <w:lang w:eastAsia="zh-CN"/>
        </w:rPr>
        <w:t>。</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、党务办公室</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firstLine="280" w:firstLineChars="1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宣传、贯彻党和政府有关农村经济工作的方针、政策，开展调查研究，</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rPr>
        <w:t>培育、总结、推广典型，草拟重要文件等文字材料</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color w:val="000000"/>
          <w:kern w:val="0"/>
          <w:sz w:val="28"/>
          <w:szCs w:val="28"/>
        </w:rPr>
        <w:t>（三）、人事劳资科</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color w:val="000000"/>
          <w:kern w:val="0"/>
          <w:sz w:val="28"/>
          <w:szCs w:val="28"/>
        </w:rPr>
        <w:t>负责全系统职工的干部管理，人事调配、工人档案管理、职称评定、技术等级评定、劳动工资计划，公务员考核等工作，对直属企业单位的社会保险，下岗再就业进行指导</w:t>
      </w:r>
      <w:r>
        <w:rPr>
          <w:rFonts w:hint="eastAsia" w:ascii="仿宋" w:hAnsi="仿宋" w:eastAsia="仿宋" w:cs="仿宋"/>
          <w:color w:val="000000"/>
          <w:kern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color w:val="000000"/>
          <w:kern w:val="0"/>
          <w:sz w:val="28"/>
          <w:szCs w:val="28"/>
        </w:rPr>
        <w:t>（四）、监事会办公室</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color w:val="000000"/>
          <w:kern w:val="0"/>
          <w:sz w:val="28"/>
          <w:szCs w:val="28"/>
        </w:rPr>
        <w:t>负责了解并反映各监事对供销合作社工作的意见和建议，负责系统内的监督检查工作，监督检查本社财产的保值增值，维护本社合法权益</w:t>
      </w:r>
      <w:r>
        <w:rPr>
          <w:rFonts w:hint="eastAsia" w:ascii="仿宋" w:hAnsi="仿宋" w:eastAsia="仿宋" w:cs="仿宋"/>
          <w:color w:val="000000"/>
          <w:kern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color w:val="000000"/>
          <w:kern w:val="0"/>
          <w:sz w:val="28"/>
          <w:szCs w:val="28"/>
        </w:rPr>
        <w:t>（五）、财审科</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color w:val="000000"/>
          <w:kern w:val="0"/>
          <w:sz w:val="28"/>
          <w:szCs w:val="28"/>
        </w:rPr>
        <w:t>根据国家和省、市有关政策法规，编制本级财务计划，制定会计工作的具体管理制度；负责机关的财务管理，同时指导所属基层单位财务工作；对社有资产进行监督及管理，确保资产的保值增值</w:t>
      </w:r>
      <w:r>
        <w:rPr>
          <w:rFonts w:hint="eastAsia" w:ascii="仿宋" w:hAnsi="仿宋" w:eastAsia="仿宋" w:cs="仿宋"/>
          <w:color w:val="000000"/>
          <w:kern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color w:val="000000"/>
          <w:kern w:val="0"/>
          <w:sz w:val="28"/>
          <w:szCs w:val="28"/>
          <w:lang w:eastAsia="zh-CN"/>
        </w:rPr>
        <w:t>（六）</w:t>
      </w:r>
      <w:r>
        <w:rPr>
          <w:rFonts w:hint="eastAsia" w:ascii="仿宋" w:hAnsi="仿宋" w:eastAsia="仿宋" w:cs="仿宋"/>
          <w:color w:val="000000"/>
          <w:kern w:val="0"/>
          <w:sz w:val="28"/>
          <w:szCs w:val="28"/>
        </w:rPr>
        <w:t>、经济发展科</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color w:val="000000"/>
          <w:kern w:val="0"/>
          <w:sz w:val="28"/>
          <w:szCs w:val="28"/>
        </w:rPr>
        <w:t>负责编制供销社系统年度综合计划，统筹规划企业发展，对全系统的农副产品，对外贸易及商业服务业进行指导，大力开拓农村市场，引导农民有组织地进入市场</w:t>
      </w:r>
      <w:r>
        <w:rPr>
          <w:rFonts w:hint="eastAsia" w:ascii="仿宋" w:hAnsi="仿宋" w:eastAsia="仿宋" w:cs="仿宋"/>
          <w:color w:val="000000"/>
          <w:kern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color w:val="000000"/>
          <w:kern w:val="0"/>
          <w:sz w:val="28"/>
          <w:szCs w:val="28"/>
        </w:rPr>
        <w:t>（七）、合作指导科</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color w:val="000000"/>
          <w:kern w:val="0"/>
          <w:sz w:val="28"/>
          <w:szCs w:val="28"/>
        </w:rPr>
        <w:t>负责指导系统相关工作，指导干部教育、职工培训，指导供销合作社按相关政策经营和购销业务</w:t>
      </w:r>
      <w:r>
        <w:rPr>
          <w:rFonts w:hint="eastAsia" w:ascii="仿宋" w:hAnsi="仿宋" w:eastAsia="仿宋" w:cs="仿宋"/>
          <w:color w:val="000000"/>
          <w:kern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color w:val="000000"/>
          <w:kern w:val="0"/>
          <w:sz w:val="28"/>
          <w:szCs w:val="28"/>
        </w:rPr>
        <w:t>（八）、安全保卫科</w:t>
      </w:r>
    </w:p>
    <w:p>
      <w:pPr>
        <w:keepNext w:val="0"/>
        <w:keepLines w:val="0"/>
        <w:pageBreakBefore w:val="0"/>
        <w:kinsoku/>
        <w:wordWrap/>
        <w:overflowPunct/>
        <w:topLinePunct w:val="0"/>
        <w:autoSpaceDE/>
        <w:autoSpaceDN/>
        <w:bidi w:val="0"/>
        <w:adjustRightInd/>
        <w:snapToGrid/>
        <w:spacing w:line="360" w:lineRule="auto"/>
        <w:ind w:right="0" w:rightChars="0" w:firstLine="560"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color w:val="000000"/>
          <w:kern w:val="0"/>
          <w:sz w:val="28"/>
          <w:szCs w:val="28"/>
        </w:rPr>
        <w:t>负责全县供销社系统的安全保卫、安全统筹工作，督促检查系统内的人员密集场所和烟花爆竹经营单位安全生产工作</w:t>
      </w:r>
      <w:r>
        <w:rPr>
          <w:rFonts w:hint="eastAsia" w:ascii="仿宋" w:hAnsi="仿宋" w:eastAsia="仿宋" w:cs="仿宋"/>
          <w:color w:val="000000"/>
          <w:kern w:val="0"/>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9</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的单位有1个，为2019年末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12</w:t>
      </w:r>
      <w:r>
        <w:rPr>
          <w:rFonts w:hint="eastAsia" w:ascii="仿宋" w:hAnsi="仿宋" w:eastAsia="仿宋" w:cs="仿宋"/>
          <w:color w:val="auto"/>
          <w:sz w:val="30"/>
          <w:szCs w:val="30"/>
          <w:highlight w:val="none"/>
        </w:rPr>
        <w:t>人，事业编制</w:t>
      </w:r>
      <w:r>
        <w:rPr>
          <w:rFonts w:hint="eastAsia" w:ascii="仿宋" w:hAnsi="仿宋" w:eastAsia="仿宋" w:cs="仿宋"/>
          <w:color w:val="auto"/>
          <w:sz w:val="30"/>
          <w:szCs w:val="30"/>
          <w:highlight w:val="none"/>
          <w:lang w:val="en-US" w:eastAsia="zh-CN"/>
        </w:rPr>
        <w:t>12</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12人，其中：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12</w:t>
      </w:r>
      <w:r>
        <w:rPr>
          <w:rFonts w:hint="eastAsia" w:ascii="仿宋" w:hAnsi="仿宋" w:eastAsia="仿宋" w:cs="仿宋"/>
          <w:color w:val="auto"/>
          <w:sz w:val="30"/>
          <w:szCs w:val="30"/>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9</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w:t>
      </w:r>
      <w:r>
        <w:rPr>
          <w:rFonts w:hint="eastAsia" w:ascii="仿宋" w:hAnsi="仿宋" w:eastAsia="仿宋" w:cs="仿宋"/>
          <w:kern w:val="0"/>
          <w:sz w:val="30"/>
          <w:szCs w:val="30"/>
          <w:highlight w:val="none"/>
          <w:u w:val="none"/>
          <w:lang w:val="en-US" w:eastAsia="zh-CN"/>
        </w:rPr>
        <w:t>9</w:t>
      </w:r>
      <w:r>
        <w:rPr>
          <w:rFonts w:hint="eastAsia" w:ascii="仿宋" w:hAnsi="仿宋" w:eastAsia="仿宋" w:cs="仿宋"/>
          <w:kern w:val="0"/>
          <w:sz w:val="30"/>
          <w:szCs w:val="30"/>
          <w:highlight w:val="none"/>
          <w:u w:val="none"/>
          <w:lang w:eastAsia="zh-CN"/>
        </w:rPr>
        <w:t>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136万元，其中：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136</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136</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32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。主要原因：</w:t>
      </w:r>
      <w:r>
        <w:rPr>
          <w:rFonts w:hint="eastAsia" w:ascii="仿宋" w:hAnsi="仿宋" w:eastAsia="仿宋" w:cs="仿宋"/>
          <w:color w:val="auto"/>
          <w:sz w:val="30"/>
          <w:szCs w:val="30"/>
          <w:highlight w:val="none"/>
          <w:lang w:eastAsia="zh-CN"/>
        </w:rPr>
        <w:t>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136</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18</w:t>
      </w:r>
      <w:r>
        <w:rPr>
          <w:rFonts w:hint="eastAsia" w:ascii="仿宋" w:hAnsi="仿宋" w:eastAsia="仿宋" w:cs="仿宋"/>
          <w:sz w:val="30"/>
          <w:szCs w:val="30"/>
          <w:highlight w:val="none"/>
        </w:rPr>
        <w:t>%。主要原因：</w:t>
      </w:r>
      <w:r>
        <w:rPr>
          <w:rFonts w:hint="eastAsia" w:ascii="仿宋" w:hAnsi="仿宋" w:eastAsia="仿宋" w:cs="仿宋"/>
          <w:color w:val="auto"/>
          <w:sz w:val="30"/>
          <w:szCs w:val="30"/>
          <w:highlight w:val="none"/>
          <w:lang w:eastAsia="zh-CN"/>
        </w:rPr>
        <w:t>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与2018年度相比，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%。主要原因：</w:t>
      </w:r>
      <w:r>
        <w:rPr>
          <w:rFonts w:hint="eastAsia" w:ascii="仿宋" w:hAnsi="仿宋" w:eastAsia="仿宋" w:cs="仿宋"/>
          <w:color w:val="auto"/>
          <w:sz w:val="30"/>
          <w:szCs w:val="30"/>
          <w:highlight w:val="none"/>
          <w:lang w:eastAsia="zh-CN"/>
        </w:rPr>
        <w:t>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eastAsia="zh-CN"/>
        </w:rPr>
        <w:t>201</w:t>
      </w:r>
      <w:r>
        <w:rPr>
          <w:rFonts w:hint="eastAsia" w:ascii="仿宋" w:hAnsi="仿宋" w:eastAsia="仿宋" w:cs="仿宋"/>
          <w:color w:val="auto"/>
          <w:sz w:val="30"/>
          <w:szCs w:val="30"/>
          <w:highlight w:val="none"/>
          <w:lang w:val="en-US" w:eastAsia="zh-CN"/>
        </w:rPr>
        <w:t>9</w:t>
      </w:r>
      <w:r>
        <w:rPr>
          <w:rFonts w:hint="eastAsia" w:ascii="仿宋" w:hAnsi="仿宋" w:eastAsia="仿宋" w:cs="仿宋"/>
          <w:color w:val="auto"/>
          <w:sz w:val="30"/>
          <w:szCs w:val="30"/>
          <w:highlight w:val="none"/>
          <w:lang w:eastAsia="zh-CN"/>
        </w:rPr>
        <w:t>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136</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8年度</w:t>
      </w:r>
      <w:r>
        <w:rPr>
          <w:rFonts w:hint="eastAsia" w:ascii="仿宋" w:hAnsi="仿宋" w:eastAsia="仿宋" w:cs="仿宋"/>
          <w:color w:val="auto"/>
          <w:sz w:val="30"/>
          <w:szCs w:val="30"/>
          <w:highlight w:val="none"/>
        </w:rPr>
        <w:t>相比，财政拨款收、支总计</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32</w:t>
      </w:r>
      <w:r>
        <w:rPr>
          <w:rFonts w:hint="eastAsia" w:ascii="仿宋" w:hAnsi="仿宋" w:eastAsia="仿宋" w:cs="仿宋"/>
          <w:color w:val="auto"/>
          <w:sz w:val="30"/>
          <w:szCs w:val="30"/>
          <w:highlight w:val="none"/>
        </w:rPr>
        <w:t>万元，</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19</w:t>
      </w:r>
      <w:r>
        <w:rPr>
          <w:rFonts w:hint="eastAsia" w:ascii="仿宋" w:hAnsi="仿宋" w:eastAsia="仿宋" w:cs="仿宋"/>
          <w:color w:val="auto"/>
          <w:sz w:val="30"/>
          <w:szCs w:val="30"/>
          <w:highlight w:val="none"/>
        </w:rPr>
        <w:t>%。主要原因：</w:t>
      </w:r>
      <w:r>
        <w:rPr>
          <w:rFonts w:hint="eastAsia" w:ascii="仿宋" w:hAnsi="仿宋" w:eastAsia="仿宋" w:cs="仿宋"/>
          <w:color w:val="auto"/>
          <w:sz w:val="30"/>
          <w:szCs w:val="30"/>
          <w:highlight w:val="none"/>
          <w:lang w:eastAsia="zh-CN"/>
        </w:rPr>
        <w:t>人员减少。</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2018年决算数相比，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32万元，</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w:t>
      </w:r>
      <w:r>
        <w:rPr>
          <w:rFonts w:hint="eastAsia" w:ascii="仿宋" w:hAnsi="仿宋" w:eastAsia="仿宋" w:cs="仿宋"/>
          <w:color w:val="auto"/>
          <w:sz w:val="30"/>
          <w:szCs w:val="30"/>
          <w:highlight w:val="none"/>
          <w:lang w:eastAsia="zh-CN"/>
        </w:rPr>
        <w:t>人员减少。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lang w:val="en-US" w:eastAsia="zh-CN"/>
        </w:rPr>
        <w:t>126万元，占：92%。其中：基本工资、津贴补助支出96万元，占：70%；</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13</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10%；医疗保险支出（类）6万元，</w:t>
      </w:r>
      <w:r>
        <w:rPr>
          <w:rFonts w:hint="eastAsia" w:ascii="仿宋" w:hAnsi="仿宋" w:eastAsia="仿宋" w:cs="仿宋"/>
          <w:sz w:val="30"/>
          <w:szCs w:val="30"/>
          <w:highlight w:val="none"/>
          <w:lang w:eastAsia="zh-CN"/>
        </w:rPr>
        <w:t>占</w:t>
      </w: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209</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34%</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10万元，完成年初预算的42%</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w:t>
      </w:r>
      <w:r>
        <w:rPr>
          <w:rFonts w:hint="eastAsia" w:ascii="仿宋" w:hAnsi="仿宋" w:eastAsia="仿宋" w:cs="仿宋"/>
          <w:sz w:val="30"/>
          <w:szCs w:val="30"/>
          <w:highlight w:val="none"/>
          <w:lang w:eastAsia="zh-CN"/>
        </w:rPr>
        <w:t>是预算执行调整预算。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2、医疗卫生与计划生育支出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类）</w:t>
      </w:r>
      <w:r>
        <w:rPr>
          <w:rFonts w:hint="eastAsia" w:ascii="仿宋" w:hAnsi="仿宋" w:eastAsia="仿宋" w:cs="仿宋"/>
          <w:sz w:val="28"/>
          <w:szCs w:val="28"/>
          <w:highlight w:val="none"/>
          <w:lang w:val="en-US" w:eastAsia="zh-CN"/>
        </w:rPr>
        <w:t>行政事业单位医疗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款）</w:t>
      </w:r>
      <w:r>
        <w:rPr>
          <w:rFonts w:hint="eastAsia" w:ascii="仿宋" w:hAnsi="仿宋" w:eastAsia="仿宋" w:cs="仿宋"/>
          <w:sz w:val="28"/>
          <w:szCs w:val="28"/>
          <w:highlight w:val="none"/>
          <w:lang w:val="en-US" w:eastAsia="zh-CN"/>
        </w:rPr>
        <w:t>事业单位医疗</w:t>
      </w:r>
      <w:r>
        <w:rPr>
          <w:rFonts w:hint="eastAsia" w:ascii="仿宋" w:hAnsi="仿宋" w:eastAsia="仿宋" w:cs="仿宋"/>
          <w:sz w:val="28"/>
          <w:szCs w:val="28"/>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2019</w:t>
      </w:r>
      <w:r>
        <w:rPr>
          <w:rFonts w:hint="eastAsia" w:ascii="仿宋" w:hAnsi="仿宋" w:eastAsia="仿宋" w:cs="仿宋"/>
          <w:sz w:val="28"/>
          <w:szCs w:val="28"/>
          <w:highlight w:val="none"/>
        </w:rPr>
        <w:t>年初预算为</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万元，</w:t>
      </w:r>
      <w:r>
        <w:rPr>
          <w:rFonts w:hint="eastAsia" w:ascii="仿宋" w:hAnsi="仿宋" w:eastAsia="仿宋" w:cs="仿宋"/>
          <w:sz w:val="28"/>
          <w:szCs w:val="28"/>
          <w:highlight w:val="none"/>
          <w:lang w:eastAsia="zh-CN"/>
        </w:rPr>
        <w:t>支出决算为</w:t>
      </w:r>
      <w:r>
        <w:rPr>
          <w:rFonts w:hint="eastAsia" w:ascii="仿宋" w:hAnsi="仿宋" w:eastAsia="仿宋" w:cs="仿宋"/>
          <w:sz w:val="28"/>
          <w:szCs w:val="28"/>
          <w:highlight w:val="none"/>
          <w:lang w:val="en-US" w:eastAsia="zh-CN"/>
        </w:rPr>
        <w:t>6万元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完成年初预算的 14%</w:t>
      </w:r>
      <w:r>
        <w:rPr>
          <w:rFonts w:hint="eastAsia" w:ascii="仿宋" w:hAnsi="仿宋" w:eastAsia="仿宋" w:cs="仿宋"/>
          <w:sz w:val="28"/>
          <w:szCs w:val="28"/>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3、社会保障和就业支出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类）</w:t>
      </w:r>
      <w:r>
        <w:rPr>
          <w:rFonts w:hint="eastAsia" w:ascii="仿宋" w:hAnsi="仿宋" w:eastAsia="仿宋" w:cs="仿宋"/>
          <w:sz w:val="28"/>
          <w:szCs w:val="28"/>
          <w:highlight w:val="none"/>
          <w:lang w:val="en-US" w:eastAsia="zh-CN"/>
        </w:rPr>
        <w:t>其他社会保障和就业支出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款）</w:t>
      </w:r>
      <w:r>
        <w:rPr>
          <w:rFonts w:hint="eastAsia" w:ascii="仿宋" w:hAnsi="仿宋" w:eastAsia="仿宋" w:cs="仿宋"/>
          <w:sz w:val="28"/>
          <w:szCs w:val="28"/>
          <w:highlight w:val="none"/>
          <w:lang w:val="en-US" w:eastAsia="zh-CN"/>
        </w:rPr>
        <w:t>其他社会保障和就业支出</w:t>
      </w:r>
      <w:r>
        <w:rPr>
          <w:rFonts w:hint="eastAsia" w:ascii="仿宋" w:hAnsi="仿宋" w:eastAsia="仿宋" w:cs="仿宋"/>
          <w:sz w:val="28"/>
          <w:szCs w:val="28"/>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2019</w:t>
      </w:r>
      <w:r>
        <w:rPr>
          <w:rFonts w:hint="eastAsia" w:ascii="仿宋" w:hAnsi="仿宋" w:eastAsia="仿宋" w:cs="仿宋"/>
          <w:sz w:val="28"/>
          <w:szCs w:val="28"/>
          <w:highlight w:val="none"/>
        </w:rPr>
        <w:t>年初预算为</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万元，</w:t>
      </w:r>
      <w:r>
        <w:rPr>
          <w:rFonts w:hint="eastAsia" w:ascii="仿宋" w:hAnsi="仿宋" w:eastAsia="仿宋" w:cs="仿宋"/>
          <w:sz w:val="28"/>
          <w:szCs w:val="28"/>
          <w:highlight w:val="none"/>
          <w:lang w:eastAsia="zh-CN"/>
        </w:rPr>
        <w:t>支出决算为</w:t>
      </w:r>
      <w:r>
        <w:rPr>
          <w:rFonts w:hint="eastAsia" w:ascii="仿宋" w:hAnsi="仿宋" w:eastAsia="仿宋" w:cs="仿宋"/>
          <w:sz w:val="28"/>
          <w:szCs w:val="28"/>
          <w:highlight w:val="none"/>
          <w:lang w:val="en-US" w:eastAsia="zh-CN"/>
        </w:rPr>
        <w:t>13万元，完成年初预算的62%</w:t>
      </w:r>
      <w:r>
        <w:rPr>
          <w:rFonts w:hint="eastAsia" w:ascii="仿宋" w:hAnsi="仿宋" w:eastAsia="仿宋" w:cs="仿宋"/>
          <w:sz w:val="28"/>
          <w:szCs w:val="28"/>
          <w:highlight w:val="none"/>
        </w:rPr>
        <w:t>。决算数</w:t>
      </w:r>
      <w:r>
        <w:rPr>
          <w:rFonts w:hint="eastAsia" w:ascii="仿宋" w:hAnsi="仿宋" w:eastAsia="仿宋" w:cs="仿宋"/>
          <w:sz w:val="28"/>
          <w:szCs w:val="28"/>
          <w:highlight w:val="none"/>
          <w:lang w:eastAsia="zh-CN"/>
        </w:rPr>
        <w:t>小于</w:t>
      </w:r>
      <w:r>
        <w:rPr>
          <w:rFonts w:hint="eastAsia" w:ascii="仿宋" w:hAnsi="仿宋" w:eastAsia="仿宋" w:cs="仿宋"/>
          <w:sz w:val="28"/>
          <w:szCs w:val="28"/>
          <w:highlight w:val="none"/>
        </w:rPr>
        <w:t>预算数的主要原因是</w:t>
      </w:r>
      <w:r>
        <w:rPr>
          <w:rFonts w:hint="eastAsia" w:ascii="仿宋" w:hAnsi="仿宋" w:eastAsia="仿宋" w:cs="仿宋"/>
          <w:sz w:val="28"/>
          <w:szCs w:val="28"/>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11万元，完成年初预算的100%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136</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126</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2018年增加（减少）0万元，增长（下降）0%,主要原因是无三公经费支出。年初预算为0万元，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度“三公”经费支出决算数小于预算数的主要原因</w:t>
      </w:r>
      <w:r>
        <w:rPr>
          <w:rFonts w:hint="eastAsia" w:ascii="仿宋" w:hAnsi="仿宋" w:eastAsia="仿宋" w:cs="仿宋"/>
          <w:sz w:val="30"/>
          <w:szCs w:val="30"/>
          <w:highlight w:val="none"/>
          <w:lang w:val="en-US" w:eastAsia="zh-CN"/>
        </w:rPr>
        <w:t>是无三公经费支出。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决算数小于预算数的主要原因：无</w:t>
      </w:r>
      <w:r>
        <w:rPr>
          <w:rFonts w:hint="eastAsia" w:ascii="仿宋" w:hAnsi="仿宋" w:eastAsia="仿宋" w:cs="仿宋"/>
          <w:sz w:val="30"/>
          <w:szCs w:val="30"/>
          <w:highlight w:val="none"/>
          <w:lang w:eastAsia="zh-CN"/>
        </w:rPr>
        <w:t>；与上年决算相比，增加（减少）</w:t>
      </w:r>
      <w:r>
        <w:rPr>
          <w:rFonts w:hint="eastAsia" w:ascii="仿宋" w:hAnsi="仿宋" w:eastAsia="仿宋" w:cs="仿宋"/>
          <w:sz w:val="30"/>
          <w:szCs w:val="30"/>
          <w:highlight w:val="none"/>
          <w:lang w:val="en-US" w:eastAsia="zh-CN"/>
        </w:rPr>
        <w:t>0万元，增长（下降）0%，主要原因是无；</w:t>
      </w:r>
      <w:r>
        <w:rPr>
          <w:rFonts w:hint="eastAsia" w:ascii="仿宋" w:hAnsi="仿宋" w:eastAsia="仿宋" w:cs="仿宋"/>
          <w:sz w:val="30"/>
          <w:szCs w:val="30"/>
          <w:highlight w:val="none"/>
        </w:rPr>
        <w:t>全年安排因公出国（境）团组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个，累计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0万元，下降（增长）0%，主要原因是无；其中：公务用车购置支出0万元，</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0万元，下降（增长）0%；公务用车运行维护费0万元，</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0万元，下降（增长）0%；公务用车购置数0辆，</w:t>
      </w:r>
      <w:r>
        <w:rPr>
          <w:rFonts w:hint="eastAsia" w:ascii="仿宋" w:hAnsi="仿宋" w:eastAsia="仿宋" w:cs="仿宋"/>
          <w:sz w:val="30"/>
          <w:szCs w:val="30"/>
          <w:highlight w:val="none"/>
        </w:rPr>
        <w:t>公务用车保有量</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 xml:space="preserve"> 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无；与上年决算比减少（增加）</w:t>
      </w:r>
      <w:r>
        <w:rPr>
          <w:rFonts w:hint="eastAsia" w:ascii="仿宋" w:hAnsi="仿宋" w:eastAsia="仿宋" w:cs="仿宋"/>
          <w:sz w:val="30"/>
          <w:szCs w:val="30"/>
          <w:highlight w:val="none"/>
          <w:lang w:val="en-US" w:eastAsia="zh-CN"/>
        </w:rPr>
        <w:t>0万元，下降（增长）0%，主要原因是无。</w:t>
      </w:r>
      <w:r>
        <w:rPr>
          <w:rFonts w:hint="eastAsia" w:ascii="仿宋" w:hAnsi="仿宋" w:eastAsia="仿宋" w:cs="仿宋"/>
          <w:sz w:val="30"/>
          <w:szCs w:val="30"/>
          <w:highlight w:val="none"/>
        </w:rPr>
        <w:t>其中：国内公务接待费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万元，国内公务接待批次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个，国内公务接待人次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人；国（境）外公务接待费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万元，国（境）外公务接待批次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个，国（境）外公务接待人次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年相比，政府性基金预算财政拨款支出增加</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万元，增长</w:t>
      </w:r>
      <w:r>
        <w:rPr>
          <w:rFonts w:hint="eastAsia" w:ascii="仿宋" w:hAnsi="仿宋" w:eastAsia="仿宋" w:cs="仿宋"/>
          <w:sz w:val="30"/>
          <w:szCs w:val="30"/>
          <w:highlight w:val="none"/>
          <w:lang w:val="en-US" w:eastAsia="zh-CN"/>
        </w:rPr>
        <w:t>（下降）0</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0万元，已</w:t>
      </w:r>
      <w:r>
        <w:rPr>
          <w:rFonts w:hint="eastAsia" w:ascii="仿宋" w:hAnsi="仿宋" w:eastAsia="仿宋" w:cs="仿宋"/>
          <w:sz w:val="30"/>
          <w:szCs w:val="30"/>
          <w:highlight w:val="none"/>
          <w:lang w:eastAsia="zh-CN"/>
        </w:rPr>
        <w:t>结转下年。</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2019年度没有</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无</w:t>
      </w:r>
    </w:p>
    <w:p>
      <w:pPr>
        <w:keepNext w:val="0"/>
        <w:keepLines w:val="0"/>
        <w:pageBreakBefore w:val="0"/>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val="0"/>
          <w:bCs w:val="0"/>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val="en-US" w:eastAsia="zh-CN"/>
        </w:rPr>
        <w:t>安</w:t>
      </w:r>
      <w:bookmarkStart w:id="0" w:name="_GoBack"/>
      <w:bookmarkEnd w:id="0"/>
      <w:r>
        <w:rPr>
          <w:rFonts w:hint="eastAsia" w:ascii="仿宋" w:hAnsi="仿宋" w:eastAsia="仿宋" w:cs="仿宋"/>
          <w:bCs/>
          <w:color w:val="111111"/>
          <w:kern w:val="0"/>
          <w:sz w:val="30"/>
          <w:szCs w:val="30"/>
          <w:highlight w:val="none"/>
        </w:rPr>
        <w:t>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附件：2019年度部门决算公开表格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191"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1693011"/>
    <w:multiLevelType w:val="singleLevel"/>
    <w:tmpl w:val="11693011"/>
    <w:lvl w:ilvl="0" w:tentative="0">
      <w:start w:val="5"/>
      <w:numFmt w:val="chineseCounting"/>
      <w:suff w:val="nothing"/>
      <w:lvlText w:val="%1、"/>
      <w:lvlJc w:val="left"/>
      <w:rPr>
        <w:rFonts w:hint="eastAsia"/>
      </w:rPr>
    </w:lvl>
  </w:abstractNum>
  <w:abstractNum w:abstractNumId="3">
    <w:nsid w:val="3D5625CE"/>
    <w:multiLevelType w:val="singleLevel"/>
    <w:tmpl w:val="3D5625CE"/>
    <w:lvl w:ilvl="0" w:tentative="0">
      <w:start w:val="1"/>
      <w:numFmt w:val="chineseCounting"/>
      <w:suff w:val="nothing"/>
      <w:lvlText w:val="（%1）"/>
      <w:lvlJc w:val="left"/>
      <w:rPr>
        <w:rFonts w:hint="eastAsia"/>
      </w:rPr>
    </w:lvl>
  </w:abstractNum>
  <w:abstractNum w:abstractNumId="4">
    <w:nsid w:val="53AA4C5C"/>
    <w:multiLevelType w:val="singleLevel"/>
    <w:tmpl w:val="53AA4C5C"/>
    <w:lvl w:ilvl="0" w:tentative="0">
      <w:start w:val="3"/>
      <w:numFmt w:val="chineseCounting"/>
      <w:suff w:val="space"/>
      <w:lvlText w:val="第%1部分"/>
      <w:lvlJc w:val="left"/>
      <w:rPr>
        <w:rFonts w:hint="eastAsia"/>
      </w:rPr>
    </w:lvl>
  </w:abstractNum>
  <w:abstractNum w:abstractNumId="5">
    <w:nsid w:val="5D75BB9F"/>
    <w:multiLevelType w:val="singleLevel"/>
    <w:tmpl w:val="5D75BB9F"/>
    <w:lvl w:ilvl="0" w:tentative="0">
      <w:start w:val="1"/>
      <w:numFmt w:val="chineseCounting"/>
      <w:suff w:val="nothing"/>
      <w:lvlText w:val="%1、"/>
      <w:lvlJc w:val="left"/>
    </w:lvl>
  </w:abstractNum>
  <w:abstractNum w:abstractNumId="6">
    <w:nsid w:val="5D7EDA3B"/>
    <w:multiLevelType w:val="singleLevel"/>
    <w:tmpl w:val="5D7EDA3B"/>
    <w:lvl w:ilvl="0" w:tentative="0">
      <w:start w:val="9"/>
      <w:numFmt w:val="chineseCounting"/>
      <w:suff w:val="nothing"/>
      <w:lvlText w:val="%1、"/>
      <w:lvlJc w:val="left"/>
    </w:lvl>
  </w:abstractNum>
  <w:num w:numId="1">
    <w:abstractNumId w:val="1"/>
  </w:num>
  <w:num w:numId="2">
    <w:abstractNumId w:val="4"/>
  </w:num>
  <w:num w:numId="3">
    <w:abstractNumId w:val="0"/>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OGIxYjE4YjIyMmNjNjBlOWM3OTAxMzVjZjZmZjMifQ=="/>
  </w:docVars>
  <w:rsids>
    <w:rsidRoot w:val="141522A4"/>
    <w:rsid w:val="004D28BB"/>
    <w:rsid w:val="008557E7"/>
    <w:rsid w:val="02056C4D"/>
    <w:rsid w:val="023F13DB"/>
    <w:rsid w:val="026066D5"/>
    <w:rsid w:val="02916A48"/>
    <w:rsid w:val="029224CF"/>
    <w:rsid w:val="032D5CC6"/>
    <w:rsid w:val="03456C94"/>
    <w:rsid w:val="036A7041"/>
    <w:rsid w:val="0372233B"/>
    <w:rsid w:val="037D750B"/>
    <w:rsid w:val="03CD392E"/>
    <w:rsid w:val="04101647"/>
    <w:rsid w:val="04DF25D8"/>
    <w:rsid w:val="058F3CD4"/>
    <w:rsid w:val="061D3241"/>
    <w:rsid w:val="06265BAD"/>
    <w:rsid w:val="065C7A31"/>
    <w:rsid w:val="06EE4F18"/>
    <w:rsid w:val="072041B7"/>
    <w:rsid w:val="075B29A0"/>
    <w:rsid w:val="07874C92"/>
    <w:rsid w:val="084670B2"/>
    <w:rsid w:val="0894421E"/>
    <w:rsid w:val="08A3498B"/>
    <w:rsid w:val="08F04202"/>
    <w:rsid w:val="090E785C"/>
    <w:rsid w:val="092248D9"/>
    <w:rsid w:val="093B0FC9"/>
    <w:rsid w:val="09561265"/>
    <w:rsid w:val="097958DA"/>
    <w:rsid w:val="099C4029"/>
    <w:rsid w:val="09B50255"/>
    <w:rsid w:val="09E539AA"/>
    <w:rsid w:val="0A11221C"/>
    <w:rsid w:val="0A220A86"/>
    <w:rsid w:val="0ABC48D5"/>
    <w:rsid w:val="0ACA3F20"/>
    <w:rsid w:val="0B3324B9"/>
    <w:rsid w:val="0B65121C"/>
    <w:rsid w:val="0BBA4EB1"/>
    <w:rsid w:val="0BC654D1"/>
    <w:rsid w:val="0CD159E4"/>
    <w:rsid w:val="0CE42EBA"/>
    <w:rsid w:val="0D246A78"/>
    <w:rsid w:val="0D410992"/>
    <w:rsid w:val="0D5E7D65"/>
    <w:rsid w:val="0DE60DAC"/>
    <w:rsid w:val="0E1A3CAC"/>
    <w:rsid w:val="0E3B1281"/>
    <w:rsid w:val="0F814A77"/>
    <w:rsid w:val="10655A3A"/>
    <w:rsid w:val="10FE659B"/>
    <w:rsid w:val="111937AD"/>
    <w:rsid w:val="12072D82"/>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8C7ECE"/>
    <w:rsid w:val="1BB90A3E"/>
    <w:rsid w:val="1BCA16D9"/>
    <w:rsid w:val="1C1E0652"/>
    <w:rsid w:val="1C2527A8"/>
    <w:rsid w:val="1C3521E8"/>
    <w:rsid w:val="1C55067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111688"/>
    <w:rsid w:val="234D0F55"/>
    <w:rsid w:val="23C62C14"/>
    <w:rsid w:val="23EB4166"/>
    <w:rsid w:val="241C6F4C"/>
    <w:rsid w:val="243B6E0E"/>
    <w:rsid w:val="246F00D9"/>
    <w:rsid w:val="249A1586"/>
    <w:rsid w:val="24DD4BD8"/>
    <w:rsid w:val="258B1D72"/>
    <w:rsid w:val="25D0378A"/>
    <w:rsid w:val="25FA0DB4"/>
    <w:rsid w:val="26241031"/>
    <w:rsid w:val="262D370B"/>
    <w:rsid w:val="264426D9"/>
    <w:rsid w:val="267E7B66"/>
    <w:rsid w:val="26B10EFE"/>
    <w:rsid w:val="277C33F5"/>
    <w:rsid w:val="27AA352E"/>
    <w:rsid w:val="28080359"/>
    <w:rsid w:val="28415CB2"/>
    <w:rsid w:val="284819BC"/>
    <w:rsid w:val="285C7260"/>
    <w:rsid w:val="28BA5B2E"/>
    <w:rsid w:val="293B5244"/>
    <w:rsid w:val="296524ED"/>
    <w:rsid w:val="2A675CA6"/>
    <w:rsid w:val="2B2D1149"/>
    <w:rsid w:val="2B926A52"/>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534EEA"/>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B61247"/>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626C71"/>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AC2ACA"/>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B96EED"/>
    <w:rsid w:val="53DF1E0D"/>
    <w:rsid w:val="547218BE"/>
    <w:rsid w:val="5533174C"/>
    <w:rsid w:val="55750B95"/>
    <w:rsid w:val="55FD2C9C"/>
    <w:rsid w:val="56AE6DA8"/>
    <w:rsid w:val="56BF45D7"/>
    <w:rsid w:val="57744A4E"/>
    <w:rsid w:val="57E32236"/>
    <w:rsid w:val="58091D99"/>
    <w:rsid w:val="58680A94"/>
    <w:rsid w:val="58AF2417"/>
    <w:rsid w:val="58B77229"/>
    <w:rsid w:val="595C25FA"/>
    <w:rsid w:val="59857969"/>
    <w:rsid w:val="59B06B60"/>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ADE1EB2"/>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5606F2"/>
    <w:rsid w:val="7366480B"/>
    <w:rsid w:val="73945713"/>
    <w:rsid w:val="73D442D8"/>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37346C"/>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200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不争</cp:lastModifiedBy>
  <cp:lastPrinted>2019-10-21T01:17:00Z</cp:lastPrinted>
  <dcterms:modified xsi:type="dcterms:W3CDTF">2024-03-14T05:48:19Z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74020919F88848EE933F1A89A8F5C156_13</vt:lpwstr>
  </property>
</Properties>
</file>